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 w:before="0" w:line="300"/>
        <w:jc w:val="center"/>
      </w:pPr>
      <w:r>
        <w:rPr>
          <w:rFonts w:ascii="Arial" w:cs="Arial" w:eastAsia="Arial" w:hAnsi="Arial"/>
          <w:b/>
          <w:bCs/>
          <w:color w:val="0B1F3A"/>
          <w:sz w:val="26"/>
          <w:szCs w:val="26"/>
        </w:rPr>
        <w:t xml:space="preserve">ZASADY ŁADOWANIA POJAZDÓW ELEKTRYCZNYCH</w:t>
      </w:r>
    </w:p>
    <w:p>
      <w:pPr>
        <w:spacing w:after="60" w:before="0" w:line="300"/>
        <w:jc w:val="center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w garażu przy [adres budynku]</w:t>
      </w:r>
    </w:p>
    <w:p>
      <w:pPr>
        <w:spacing w:after="260" w:before="0" w:line="300"/>
        <w:jc w:val="center"/>
      </w:pPr>
      <w:r>
        <w:rPr>
          <w:rFonts w:ascii="Arial" w:cs="Arial" w:eastAsia="Arial" w:hAnsi="Arial"/>
          <w:i/>
          <w:iCs/>
          <w:color w:val="5F6976"/>
          <w:sz w:val="17"/>
          <w:szCs w:val="17"/>
        </w:rPr>
        <w:t xml:space="preserve">Projekt — do przyjęcia w trybie właściwym dla wspólnoty mieszkaniowej albo spółdzielni</w:t>
      </w:r>
    </w:p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§ 1. Zakres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Zasady dotyczą wszystkich osób korzystających z miejsc postojowych w garażu oraz wykonawców montujących i serwisujących punkty ładowania.</w:t>
      </w:r>
    </w:p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§ 2. Montaż punktu ładowania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1. Punkt ładowania można zamontować po uzyskaniu zgody zarządu [wspólnoty / spółdzielni] w trybie przewidzianym w ustawie o elektromobilności i paliwach alternatywnych (wniosek, ekspertyza możliwości instalacji).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2. Montaż wykonuje osoba posiadająca wymagane kwalifikacje elektryczne, według projektu lub warunków przekazanych przez zarząd.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3. Po montażu użytkownik przekazuje zarządcy kopię protokołu z pomiarów i dokumentację urządzenia. Punkt zostaje wpisany do ewidencji punktów ładowania.</w:t>
      </w:r>
    </w:p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§ 3. Korzystanie z punktu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1. Ładowanie odbywa się z punktu wpisanego do ewidencji, zgodnie z instrukcją producenta pojazdu i urządzenia.</w:t>
      </w:r>
    </w:p>
    <w:p>
      <w:pPr>
        <w:spacing w:after="90" w:before="0" w:line="290"/>
      </w:pPr>
      <w:r>
        <w:rPr>
          <w:rFonts w:ascii="Arial" w:cs="Arial" w:eastAsia="Arial" w:hAnsi="Arial"/>
          <w:b/>
          <w:bCs/>
          <w:color w:val="8A5A00"/>
          <w:sz w:val="19"/>
          <w:szCs w:val="19"/>
        </w:rPr>
        <w:t xml:space="preserve">☐ [opcja do decyzji] </w:t>
      </w:r>
      <w:r>
        <w:rPr>
          <w:rFonts w:ascii="Arial" w:cs="Arial" w:eastAsia="Arial" w:hAnsi="Arial"/>
          <w:color w:val="2B2F33"/>
          <w:sz w:val="19"/>
          <w:szCs w:val="19"/>
        </w:rPr>
        <w:t xml:space="preserve">2. Nie ładuje się pojazdów z gniazd ogólnego przeznaczenia w częściach wspólnych ani z użyciem przedłużaczy i rozgałęźników.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3. Przewód ładujący nie może przebiegać przez drogi komunikacyjne, przejścia ani wyjścia.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4. Nie zastawia się gaśnic, hydrantów, wyjść, przycisków alarmowych ani wyłącznika, o którym mowa w § 4.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5. Uszkodzenie punktu lub przewodu, przegrzewanie, zapach spalenizny lub dym zgłasza się niezwłocznie zarządcy: [telefon].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6. W razie pożaru: zaalarmować 112, opuścić garaż, postępować zgodnie z instrukcją bezpieczeństwa pożarowego, jeżeli została dla garażu opracowana.</w:t>
      </w:r>
    </w:p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§ 4. Wyłączenie awaryjne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Wyłącznik zasilania punktów ładowania znajduje się: [lokalizacja]. Klucz / dostęp: [kto]. Lokalizacja wyłącznika jest oznaczona.</w:t>
      </w:r>
    </w:p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§ 5. Przeglądy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Użytkownik punktu zapewnia jego przeglądy w terminach wskazanych przez producenta i przekazuje zarządcy kopię protokołu.</w:t>
      </w:r>
    </w:p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§ 6. Ewidencja i dane</w:t>
      </w:r>
    </w:p>
    <w:p>
      <w:pPr>
        <w:spacing w:after="90" w:before="0" w:line="29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Ewidencja punktów ładowania zawiera numer miejsca postojowego lub lokalu. Dane kontaktowe użytkownika są w niej wyłącznie wtedy, gdy są potrzebne do kontaktu w razie awarii. Informacje o przetwarzaniu danych przekazuje [wspólnota / spółdzielnia] jako administrator.</w:t>
      </w:r>
    </w:p>
    <w:p>
      <w:pPr>
        <w:spacing w:after="2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Przyjęto (uchwała / decyzja nr, data)</w:t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Obowiązuje od</w:t>
            </w:r>
          </w:p>
        </w:tc>
      </w:tr>
      <w:tr>
        <w:trPr>
          <w:trHeight w:val="600" w:hRule="atLeast"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spacing w:after="200" w:before="0" w:line="300"/>
      </w:pPr>
      <w:r>
        <w:rPr>
          <w:rFonts w:ascii="Arial" w:cs="Arial" w:eastAsia="Arial" w:hAnsi="Arial"/>
          <w:b/>
          <w:bCs/>
          <w:color w:val="0B1F3A"/>
          <w:sz w:val="28"/>
          <w:szCs w:val="28"/>
        </w:rPr>
        <w:t xml:space="preserve">Jak korzystać z tego wzoru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1A66DB"/>
          <w:sz w:val="15"/>
          <w:szCs w:val="15"/>
          <w:shd w:fill="E7F0FE" w:color="auto" w:val="clear"/>
        </w:rPr>
        <w:t xml:space="preserve"> WYMÓG PRAWNY </w:t>
      </w: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  co wynika z przepisu</w:t>
      </w:r>
    </w:p>
    <w:p>
      <w:pPr>
        <w:spacing w:after="24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Instalacja punktu ładowania w istniejącym budynku wielorodzinnym wymaga zgody wspólnoty mieszkaniowej, spółdzielni albo innego zarządcy nieruchomości, w trybie określonym w ustawie o elektromobilności i paliwach alternatywnych — procedura obejmuje ekspertyzę możliwości instalacji. Przepisy o tej procedurze były w 2025 r. przedmiotem projektu zmian, dlatego przed użyciem sprawdź ich aktualne brzmienie. Jeżeli garaż ma instrukcję bezpieczeństwa pożarowego, zmiany wpływające na warunki ochrony przeciwpożarowej wymagają jej aktualizacji (§ 6 ust. 7 rozporządzenia MSWiA z 7 czerwca 2010 r., Dz.U. 2023 poz. 822).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8A5A00"/>
          <w:sz w:val="15"/>
          <w:szCs w:val="15"/>
          <w:shd w:fill="FFF3D6" w:color="auto" w:val="clear"/>
        </w:rPr>
        <w:t xml:space="preserve"> DOBRA PRAKTYKA </w:t>
      </w: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  czego przepis nie wymaga wprost, a warto</w:t>
      </w:r>
    </w:p>
    <w:p>
      <w:pPr>
        <w:spacing w:after="24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Spisane zasady, ewidencja punktów i oznaczony wyłącznik to dobra praktyka. Wytyczne straży pożarnej dotyczące ładowania w garażach mają charakter zaleceń, nie przepisu.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1F6FEB" w:sz="18"/>
              <w:bottom w:val="none" w:color="FFFFFF" w:sz="0"/>
              <w:right w:val="none" w:color="FFFFFF" w:sz="0"/>
            </w:tcBorders>
            <w:shd w:fill="EEF3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B1F3A"/>
                <w:sz w:val="20"/>
                <w:szCs w:val="20"/>
              </w:rPr>
              <w:t xml:space="preserve">Kwestie sporne i zmienne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Czy i w jakiej formie wspólnota lub spółdzielnia może ograniczyć ładowanie z gniazd ogólnego przeznaczenia — zależy od jej statusu i dokumentów. Punkt oznaczony jako opcja skonsultuj z prawnikiem.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Przepisy techniczno-budowlane dotyczące garaży są w okresie zmian. Wymagania dla nowych instalacji sprawdź u projektanta lub rzeczoznawcy do spraw zabezpieczeń przeciwpożarowych.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Ogólny zakaz wjazdu pojazdów elektrycznych to inna sprawa niż zasady ładowania — tego wzór nie obejmuje.</w:t>
            </w:r>
          </w:p>
        </w:tc>
      </w:tr>
    </w:tbl>
    <w:p>
      <w:pPr>
        <w:spacing w:after="2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1F6FEB" w:sz="18"/>
              <w:bottom w:val="none" w:color="FFFFFF" w:sz="0"/>
              <w:right w:val="none" w:color="FFFFFF" w:sz="0"/>
            </w:tcBorders>
            <w:shd w:fill="F3F5F8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B1F3A"/>
                <w:sz w:val="20"/>
                <w:szCs w:val="20"/>
              </w:rPr>
              <w:t xml:space="preserve">Czego ten wzór nie zastępuje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Projektu instalacji elektrycznej ani oceny technicznej garażu.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Uchwały lub decyzji organów wspólnoty albo spółdzielni.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Aktualizacji instrukcji bezpieczeństwa pożarowego, jeżeli garaż ją ma.</w:t>
            </w:r>
          </w:p>
        </w:tc>
      </w:tr>
    </w:tbl>
    <w:p>
      <w:pPr>
        <w:spacing w:after="2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/>
      </w:r>
    </w:p>
    <w:p>
      <w:pPr>
        <w:spacing w:after="120" w:before="0" w:line="270"/>
      </w:pPr>
      <w:r>
        <w:rPr>
          <w:rFonts w:ascii="Arial" w:cs="Arial" w:eastAsia="Arial" w:hAnsi="Arial"/>
          <w:b/>
          <w:bCs/>
          <w:color w:val="0B1F3A"/>
          <w:sz w:val="17"/>
          <w:szCs w:val="17"/>
        </w:rPr>
        <w:t xml:space="preserve">Granica odpowiedzialności. </w:t>
      </w:r>
      <w:r>
        <w:rPr>
          <w:rFonts w:ascii="Arial" w:cs="Arial" w:eastAsia="Arial" w:hAnsi="Arial"/>
          <w:color w:val="5F6976"/>
          <w:sz w:val="17"/>
          <w:szCs w:val="17"/>
        </w:rPr>
        <w:t xml:space="preserve">Decyzje o zasadach korzystania z garażu podejmuje wspólnota lub spółdzielnia; za stan instalacji odpowiada jej właściciel lub zarządca. Wzór ma charakter informacyjny i nie stanowi porady prawnej ani opinii technicznej w indywidualnej sprawie. Przed użyciem sprawdź aktualny stan prawny. Pytania: kontakt@protectcore.pl · 605 218 041.</w:t>
      </w:r>
    </w:p>
    <w:sectPr>
      <w:headerReference w:type="default" r:id="rId7"/>
      <w:footerReference w:type="default" r:id="rId8"/>
      <w:pgSz w:w="11906" w:h="16838" w:orient="portrait"/>
      <w:pgMar w:top="110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00"/>
      <w:jc w:val="center"/>
    </w:pPr>
    <w:r>
      <w:rPr>
        <w:rFonts w:ascii="Arial" w:cs="Arial" w:eastAsia="Arial" w:hAnsi="Arial"/>
        <w:color w:val="5F6976"/>
        <w:sz w:val="14"/>
        <w:szCs w:val="14"/>
      </w:rPr>
      <w:t xml:space="preserve">Wzór: ProtectCore Solutions · protectcore.pl · Materiał informacyjny, nie stanowi porady prawnej. Stan prawny: październik 2026 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300"/>
      <w:jc w:val="right"/>
    </w:pPr>
    <w:r>
      <w:rPr>
        <w:rFonts w:ascii="Arial" w:cs="Arial" w:eastAsia="Arial" w:hAnsi="Arial"/>
        <w:color w:val="5F6976"/>
        <w:sz w:val="15"/>
        <w:szCs w:val="15"/>
      </w:rPr>
      <w:t xml:space="preserve">WZÓR — wymaga dostosowania. Pola w nawiasach kwadratowych uzupełnij.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ładowania pojazdów elektrycznych w garażu — wzór</dc:title>
  <dc:creator>ProtectCore Solutions</dc:creator>
  <cp:lastModifiedBy>Un-named</cp:lastModifiedBy>
  <cp:revision>1</cp:revision>
  <dcterms:created xsi:type="dcterms:W3CDTF">2026-10-09T12:09:35.209Z</dcterms:created>
  <dcterms:modified xsi:type="dcterms:W3CDTF">2026-10-09T12:09:35.211Z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